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BodyText2"/>
        <w:jc w:val="center"/>
        <w:rPr>
          <w:szCs w:val="28"/>
        </w:rPr>
      </w:pPr>
      <w:r>
        <w:rPr/>
      </w:r>
    </w:p>
    <w:p>
      <w:pPr>
        <w:pStyle w:val="BodyText2"/>
        <w:jc w:val="center"/>
        <w:rPr/>
      </w:pPr>
      <w:r>
        <w:rPr>
          <w:szCs w:val="28"/>
        </w:rPr>
        <w:t xml:space="preserve">АДМИНИСТРАЦИЯ                        </w:t>
      </w:r>
    </w:p>
    <w:p>
      <w:pPr>
        <w:pStyle w:val="BodyText2"/>
        <w:jc w:val="center"/>
        <w:rPr>
          <w:szCs w:val="28"/>
        </w:rPr>
      </w:pPr>
      <w:r>
        <w:rPr>
          <w:szCs w:val="28"/>
        </w:rPr>
        <w:t>ВАРЕНОВСКОГО СЕЛЬСКОГО ПОСЕЛЕНИЯ</w:t>
      </w:r>
    </w:p>
    <w:p>
      <w:pPr>
        <w:pStyle w:val="BodyText2"/>
        <w:jc w:val="center"/>
        <w:rPr>
          <w:b w:val="false"/>
          <w:b w:val="false"/>
          <w:szCs w:val="28"/>
        </w:rPr>
      </w:pPr>
      <w:r>
        <w:rPr>
          <w:szCs w:val="28"/>
        </w:rPr>
        <w:t>НЕКЛИНОВСКОГО РАЙОНА РОСТОВСКОЙ ОБЛАСТИ</w:t>
      </w:r>
    </w:p>
    <w:p>
      <w:pPr>
        <w:pStyle w:val="BodyText2"/>
        <w:jc w:val="center"/>
        <w:rPr>
          <w:b w:val="false"/>
          <w:b w:val="false"/>
          <w:sz w:val="24"/>
        </w:rPr>
      </w:pPr>
      <w:r>
        <w:rPr>
          <w:b w:val="false"/>
          <w:sz w:val="24"/>
        </w:rPr>
        <w:t>=====================================================================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ПОСТАНОВЛЕНИЕ </w:t>
      </w:r>
      <w:r>
        <w:rPr>
          <w:rFonts w:cs="Times New Roman" w:ascii="Times New Roman" w:hAnsi="Times New Roman"/>
          <w:b/>
          <w:bCs/>
          <w:sz w:val="28"/>
          <w:szCs w:val="28"/>
        </w:rPr>
        <w:t>(ПРОЕКТ)</w:t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tabs>
          <w:tab w:val="left" w:pos="6737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419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3473"/>
        <w:gridCol w:w="3473"/>
        <w:gridCol w:w="3473"/>
      </w:tblGrid>
      <w:tr>
        <w:trPr/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/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</w:t>
            </w: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>с. Вареновка</w:t>
            </w:r>
          </w:p>
        </w:tc>
        <w:tc>
          <w:tcPr>
            <w:tcW w:w="3473" w:type="dxa"/>
            <w:tcBorders/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/>
            </w:pPr>
            <w:r>
              <w:rPr>
                <w:rFonts w:cs="Times New Roman" w:ascii="Times New Roman" w:hAnsi="Times New Roman"/>
                <w:bCs/>
                <w:color w:val="000000"/>
                <w:sz w:val="28"/>
                <w:szCs w:val="28"/>
              </w:rPr>
              <w:t xml:space="preserve">                           № 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Об утверждении Положения о порядке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проведения антикоррупционной экспертизы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нормативных правовых актов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Администрации Вареновского </w:t>
      </w:r>
    </w:p>
    <w:p>
      <w:pPr>
        <w:pStyle w:val="Normal"/>
        <w:widowControl w:val="false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 и их проектов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ПОСТАНОВЛЯЮ: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 Утвердить Положение о порядке проведения антикоррупционной экспертизы нормативных правовых актов Администрации Вареновского сельского поселения и их проектов согласно приложению.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 Настоящее постановление вступает в силу со дня его официального опубликования (обнародования).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 Контроль за исполнением настоящего постановления оставляю за собой.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W w:w="1036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687"/>
        <w:gridCol w:w="4680"/>
      </w:tblGrid>
      <w:tr>
        <w:trPr/>
        <w:tc>
          <w:tcPr>
            <w:tcW w:w="5687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Глава Вареновского сельского поселения                                                             </w:t>
            </w:r>
          </w:p>
        </w:tc>
        <w:tc>
          <w:tcPr>
            <w:tcW w:w="4680" w:type="dxa"/>
            <w:tcBorders/>
            <w:shd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С.В. Янчевский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538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firstLine="61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постановлению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Вареновского 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сельского поселения</w:t>
      </w:r>
    </w:p>
    <w:p>
      <w:pPr>
        <w:pStyle w:val="Normal"/>
        <w:widowControl w:val="false"/>
        <w:spacing w:lineRule="auto" w:line="240" w:before="0" w:after="0"/>
        <w:ind w:firstLine="612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>от _________г. № __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HTMLPreformatted"/>
        <w:numPr>
          <w:ilvl w:val="0"/>
          <w:numId w:val="0"/>
        </w:numPr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ПОЛОЖЕНИЕ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 порядке проведения антикоррупционной экспертизы нормативных правовых актов Администрации Вареновского сельского поселения и их проектов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bookmarkStart w:id="0" w:name="BM1001"/>
      <w:bookmarkEnd w:id="0"/>
      <w:r>
        <w:rPr>
          <w:sz w:val="28"/>
          <w:szCs w:val="28"/>
        </w:rPr>
        <w:t>1.1. Настоящее Положение в соответствии с Федеральным законом от 25.12.2008 № 273-ФЗ «О противодействии коррупции», Федеральным законом от 17.07.2009 № 172-ФЗ «Об антикоррупционной экспертизе нормативных правовых актов и проектов нормативных правовых актов», Областным законом от 12.05.2009 № 218-ЗС «О противодействии коррупции в Ростовской области» устанавливает порядок проведения антикоррупционной экспертизы действующих нормативных правовых актов и проектов нормативных правовых актов Администрации Вареновского сельского поселения (далее – Администрация) в целях выявления в них коррупциогенных факторов и их последующего устранения.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Антикоррупционная экспертиза действующих нормативных правовых актов и проектов нормативных правовых актов Администрации (далее – проекты) проводится работником Администрации, отвечающим в соответствии с должностной инструкцией за правовую работу в Администрации (далее – специалист по правовой работе).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Специалист по правовой работе проводит антикоррупционную экспертизу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 (далее – Методика).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Антикоррупционная экспертиза нормативных правовых актов Администрации, срок действия которых истек, а также признанных утратившими силу (отмененных), не проводится.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 Порядок проведения антикоррупционной экспертизы проектов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2.1. При подготовке проекта работниками Администрации, являющимися разработчиками проекта (далее – разработчики проекта), в целях избежание включения в него коррупциогенных факторов используется Методика.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 Проект, завизированный всеми заинтересованными работниками Администрации, направляется разработчиками проекта специалисту по правовой работе для проведения правовой и антикоррупционной экспертизы проекта.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 В случае выявления в проекте коррупциогенных факторов специалист по правовой работе в течение 2 рабочих дней с даты окончания приема заключений по результатам независимой антикоррупционной экспертизы, проводимой в порядке, установленном разделом 4 настоящего Положения, готовит заключение по результатам проведения антикоррупционной экспертизы, в котором отражаются указанные факторы, по форме в соответствии с приложением к настоящему Положению.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заключение специалиста по правовой работе также отражаются коррупциогенные факторы, выявленные при проведении независимой антикоррупционной экспертизы, со ссылками на соответствующие заключения, поступившие в Администрацию в соответствии с разделом 4 настоящего Положения.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специалиста по правовой работе направляется Главе Вареновского сельского поселения для рассмотрения и принятия решения об устранении выявленных при проведении антикоррупционной экспертизы проекта коррупциогенных факторов.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2.4. Коррупциогенные факторы, выявленные при проведении антикоррупционной экспертизы проекта, устраняются разработчиками проекта.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2.5. После устранения выявленных при проведении антикоррупционной экспертизы проекта коррупциогенных факторов проект направляется специалисту по правовой работе для проведения повторной антикоррупционной экспертизы и размещается на официальном сайте Администрации в сети «Интернет» (далее – сайт) в порядке, установленном в пункте 4.2 настоящего Положения.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2.6. В случае отсутствия в проекте коррупциогенных факторов по итогам проведения антикоррупционной экспертизы проект визируется специалистом по правовой работе с указанием, что коррупциогенные факторы в проекте не выявлены.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  <w:t>3. Порядок проведения антикоррупционной экспертизы действующих нормативных правовых актов Администрации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 Работники Администрации ведут постоянный мониторинг применения действующих нормативных правовых актов Администрации для выявления в них коррупциогенных факторов в соответствии с Методикой.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 В случае обнаружения в проверяемых нормативных правовых актах Администрации коррупциогенных факторов работник Администрации в этот же день направляет указанные нормативные правовые акты с мотивированным запросом специалисту по правовой работе для проведения антикоррупционной экспертизы.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 В случае отсутствия коррупциогенных факторов в нормативном правовом акте Администрации, представленном специалисту по правовой работе на антикоррупционную экспертизу, специалист по правовой работе готовит соответствующее заключение.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работнику Администрации, направившему мотивированный запрос.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3.4. В случае выявления в нормативных правовых актах Администрации коррупциогенных факторов специалист по правовой работе готовит заключение, в котором отражаются указанные факторы.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Указанное заключение направляется Главе Вареновского сельского поселения для рассмотрения и принятия решения о признании утратившим силу (отмене) нормативного правового акта Администрации или внесения в него соответствующих изменений.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3.5. Подготовка проекта о признании утратившим силу (отмене) или внесении соответствующих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работником Администрации, к компетенции которого относятся вопросы, регулируемые данным нормативным правовым актом.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3.6. Проведение антикоррупционной экспертизы проекта изменений в нормативный правовой акт Администрации, в результате проведения антикоррупционной экспертизы которого выявлены коррупциогенные факторы, осуществляется в соответствии с разделом 2 настоящего Положения.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4. Независимая антикоррупционная экспертиза нормативных правовых актов Администрации и их проектов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 Юридическими лицами и физическими лицами, аккредитованными Министерством юстиции Российской Федерации в качестве независимых экспертов в соответствии с постановлением Правительства Российской Федерации от 26.02.2010 № 96 «Об антикоррупционной экспертизе нормативных правовых актов и проектов нормативных правовых актов», может проводиться независимая антикоррупционная экспертиза нормативных правовых актов Администрации и их проектов (далее – независимая антикоррупционная экспертиза).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 Разработчики проекта в день направления его на согласование (визирование) заинтересованным работникам Администрации также направляют работнику Администрации, ответственному за размещение информации о работе Администрации на сайте, заявку на размещение на сайте проекта и информационного сообщения к проекту. 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информационном сообщении к проекту необходимо указать дату начала и дату окончания приема заключений по результатам независимой антикоррупционной экспертизы, а также адрес электронной почты Администрации, на который необходимо предварительно направлять указанные заключения.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Срок, устанавливаемый для приема заключений по результатам независимой антикоррупционной экспертизы, не может быть менее 3 рабочих дней.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4.3. Работник Администрации, размещающий информацию о работе Администрации на сайте, в этот же день размещает на сайте проект и указанное информационное сообщение.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истечении срока проведения независимой экспертизы проект может быть удален с сайта.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4.4. В отношении проектов, содержащих сведения, составляющие государственную тайну, или сведения конфиденциального характера, независимая антикоррупционная экспертиза не проводится. Такие акты не подлежат размещению на сайте.</w:t>
      </w:r>
    </w:p>
    <w:p>
      <w:pPr>
        <w:pStyle w:val="NormalWeb"/>
        <w:spacing w:beforeAutospacing="0" w:before="0" w:afterAutospacing="0"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4.5. Независимая антикоррупционная экспертиза проводится аккредитованными Министерством юстиции Российской Федерации юридическими и физическими лицами в инициативном порядке за счет собственных средств.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4.6. Независимыми экспертами не могут являться юридические и физические лица, принимавшие участие в подготовке проекта, а также учреждения, находящиеся в ведении Администрации.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4.7. Экспертное заключение направляется независимыми экспертами в Администрацию по почте или курьерским способом либо в виде электронного документа.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целью соблюдения срока, установленного пунктом 4.2 настоящего Положения, во избежание ситуации, когда проект будет утвержден (принят) до поступления заключения по результатам независимой антикоррупционной экспертизы, независимые эксперты предварительно направляют свое заключение в виде электронного документа на адрес электронный почты, указанный в извещении, в пределах указанного срока. О направлении заключения в виде электронного документа независимыми экспертами указывается в сопроводительном письме с указанием адреса электронной почты, на которое направлялось заключение, и даты направления.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4.8. В случае поступления заключения независимого эксперта в электронном виде работник Администрации, ответственный за размещение на сайте информации о работе Администрации, информирует об этом разработчиков проекта и специалиста по правовой работе с приложением такого заключения на бумажном носителе, а также передает им такое заключение в электронном виде.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непоступления заключения независимых экспертов по истечении срока, установленного для приема заключений по результатам независимой антикоррупционной экспертизы, работник Администрации, ответственный за размещение информации о работе Администрации на сайте, информирует об этом разработчиков проекта и специалиста по правовой работе.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4.9. Заключение по результатам независимой антикоррупционной экспертизы носит рекомендательный характер.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4.10. Заключение по результатам независимой антикоррупционной экспертизы подлежит рассмотрению разработчиками проекта совместно со специалистом по правовой работе.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4.11. В случае согласия с выводами либо с частью выводов, содержащихся в заключении по результатам независимой антикоррупционной экспертизы, положения проекта, способствующие созданию условий для проявления коррупции, устраняются на стадии доработки разработчиками проекта.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4.12. В случае несогласия разработчика проекта с результатами независимой антикоррупционной экспертизы вопрос выносится на рассмотрение Главы Вареновского сельского поселения. Разработчик проекта по согласованию со специалистом по правовой работе в течение 2 дней с момента окончания срока, установленного для приема экспертных заключений независимой антикоррупционной экспертизы, направляет докладную записку Главе Вареновского сельского поселения с мотивированным обоснованием своего несогласия с выводами, содержащимися в заключениях независимых экспертов, и прикладывает проект, заключения и иные необходимые документы.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 Глава Вареновского сельского поселения рассматривает поступившие материалы в течение 2 рабочих дней с момента поступления докладной записки, указанной в пункте 4.12 настоящего Положения, и принимает одно из следующих решений: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4.13.1. О признании выводов или части выводов, содержащихся в заключениях по результатам независимой антикоррупционной экспертизы о наличии в проекте признаков коррупциогенности, обоснованными и направлении проекта его разработчикам для устранения коррупционных факторов.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4.13.2. О признании выводов, содержащихся в заключениях по результатам независимой антикоррупционной экспертизы о наличии в проекте признаков коррупциогенности, необоснованными и направлении проекта на согласование в представленной редакции.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2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4.14. В тридцатидневный срок с момента поступления заключения от независимого эксперта разработчики проекта направляют ему мотивированный ответ, согласованный со специалистом по правовой работе.</w:t>
      </w:r>
    </w:p>
    <w:p>
      <w:pPr>
        <w:pStyle w:val="NormalWeb"/>
        <w:spacing w:beforeAutospacing="0" w:before="0" w:afterAutospacing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4.15. В случае поступления в Администрацию заключений по результатам независимой антикоррупционной экспертизы действующих нормативных правовых актов Администрации, они в этот же рабочий день передаются работникам Администрации, разработавшим данный правовой акт, и специалисту по правовой работе для рассмотрения в порядке, установленном пунктами 4.10 – 4.14 настоящего Положения.</w:t>
      </w:r>
      <w:r>
        <w:br w:type="page"/>
      </w:r>
    </w:p>
    <w:p>
      <w:pPr>
        <w:pStyle w:val="NormalWeb"/>
        <w:spacing w:beforeAutospacing="0" w:before="0" w:afterAutospacing="0" w:after="0"/>
        <w:ind w:left="6120" w:hanging="0"/>
        <w:jc w:val="center"/>
        <w:rPr/>
      </w:pPr>
      <w:r>
        <w:rPr/>
        <w:t>Приложение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4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Положению о порядке проведения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4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антикоррупционной экспертизы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4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нормативных правовых актов 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4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Администрации Вареновского</w:t>
      </w:r>
    </w:p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ind w:left="5940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сельского поселения и их проектов</w:t>
      </w:r>
    </w:p>
    <w:p>
      <w:pPr>
        <w:pStyle w:val="NormalWeb"/>
        <w:spacing w:beforeAutospacing="0" w:before="0" w:afterAutospacing="0" w:after="0"/>
        <w:jc w:val="center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ФОРМА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 xml:space="preserve"> </w:t>
      </w:r>
      <w:r>
        <w:rPr/>
        <w:t>заключения по результатам проведения антикоррупционной экспертизы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</w:r>
    </w:p>
    <w:tbl>
      <w:tblPr>
        <w:tblW w:w="6796" w:type="dxa"/>
        <w:jc w:val="left"/>
        <w:tblInd w:w="3141" w:type="dxa"/>
        <w:tblBorders/>
        <w:tblCellMar>
          <w:top w:w="0" w:type="dxa"/>
          <w:left w:w="113" w:type="dxa"/>
          <w:bottom w:w="0" w:type="dxa"/>
          <w:right w:w="108" w:type="dxa"/>
        </w:tblCellMar>
        <w:tblLook w:val="01e0"/>
      </w:tblPr>
      <w:tblGrid>
        <w:gridCol w:w="6796"/>
      </w:tblGrid>
      <w:tr>
        <w:trPr>
          <w:trHeight w:val="1371" w:hRule="atLeast"/>
        </w:trPr>
        <w:tc>
          <w:tcPr>
            <w:tcW w:w="679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Главе Вареновского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сельского поселения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(Ф.И.О.)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(Ф.И.О., должность работника Администрации)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ЗАКЛЮЧЕНИЕ</w:t>
      </w:r>
    </w:p>
    <w:p>
      <w:pPr>
        <w:pStyle w:val="NormalWeb"/>
        <w:spacing w:beforeAutospacing="0" w:before="0" w:afterAutospacing="0" w:after="0"/>
        <w:jc w:val="center"/>
        <w:rPr/>
      </w:pPr>
      <w:r>
        <w:rPr/>
        <w:t>по результатам проведения антикоррупционной экспертизы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Администрацией 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сельского поселения в соответствии с частями 3 и 4 статьи 3 Федерального закона от 17.07.2009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1.2 Положения о порядке проведения антикоррупционной экспертизы нормативных правовых актов Администрации Вареновского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сельского поселения и их проектов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</w:t>
      </w:r>
      <w:r>
        <w:rPr>
          <w:rFonts w:cs="Times New Roman" w:ascii="Times New Roman" w:hAnsi="Times New Roman"/>
          <w:sz w:val="18"/>
          <w:szCs w:val="18"/>
        </w:rPr>
        <w:t>реквизиты муниципального правового акта либо наименование проекта правового акта)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выявления в нем коррупциогенных факторов и их последующего устранения.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Вариант 1: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представленном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коррупциогенные факторы не выявлены.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cs="Times New Roman" w:ascii="Times New Roman" w:hAnsi="Times New Roman"/>
          <w:sz w:val="16"/>
          <w:szCs w:val="1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b/>
          <w:b/>
          <w:bCs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Вариант 2: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567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представленном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(реквизиты муниципального правового акта либо наименование проекта правового акта)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выявлены следующие коррупциогенные факторы </w:t>
      </w:r>
      <w:r>
        <w:rPr>
          <w:rStyle w:val="FootnoteCharacters"/>
          <w:rStyle w:val="Style16"/>
          <w:rFonts w:cs="Times New Roman" w:ascii="Times New Roman" w:hAnsi="Times New Roman"/>
          <w:sz w:val="24"/>
          <w:szCs w:val="24"/>
        </w:rPr>
        <w:footnoteReference w:id="2"/>
      </w:r>
      <w:r>
        <w:rPr>
          <w:rFonts w:cs="Times New Roman" w:ascii="Times New Roman" w:hAnsi="Times New Roman"/>
          <w:sz w:val="24"/>
          <w:szCs w:val="24"/>
        </w:rPr>
        <w:t>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1. 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2. ________________________________________________________________________________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…</w:t>
      </w: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Normal"/>
        <w:spacing w:lineRule="auto" w:line="240" w:before="0"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В целях устранения выявленных коррупциогенных факторов предлагается</w:t>
        <w:br/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pBdr>
          <w:top w:val="single" w:sz="4" w:space="1" w:color="00000A"/>
        </w:pBdr>
        <w:spacing w:lineRule="auto" w:line="240" w:before="0"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cs="Times New Roman" w:ascii="Times New Roman" w:hAnsi="Times New Roman"/>
          <w:sz w:val="18"/>
          <w:szCs w:val="18"/>
        </w:rPr>
        <w:t>(указывается способ устранения коррупциогенных факторов: исключение из текста документа, изложение его в другой редакции, внесение иных изменений в текст рассматриваемого документа либо в иной документ или иной способ)</w:t>
      </w:r>
    </w:p>
    <w:tbl>
      <w:tblPr>
        <w:tblW w:w="9964" w:type="dxa"/>
        <w:jc w:val="left"/>
        <w:tblInd w:w="0" w:type="dxa"/>
        <w:tblBorders>
          <w:bottom w:val="single" w:sz="4" w:space="0" w:color="00000A"/>
          <w:insideH w:val="single" w:sz="4" w:space="0" w:color="00000A"/>
        </w:tblBorders>
        <w:tblCellMar>
          <w:top w:w="0" w:type="dxa"/>
          <w:left w:w="28" w:type="dxa"/>
          <w:bottom w:w="0" w:type="dxa"/>
          <w:right w:w="28" w:type="dxa"/>
        </w:tblCellMar>
        <w:tblLook w:val="0000"/>
      </w:tblPr>
      <w:tblGrid>
        <w:gridCol w:w="3289"/>
        <w:gridCol w:w="765"/>
        <w:gridCol w:w="2027"/>
        <w:gridCol w:w="765"/>
        <w:gridCol w:w="3118"/>
      </w:tblGrid>
      <w:tr>
        <w:trPr/>
        <w:tc>
          <w:tcPr>
            <w:tcW w:w="3289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027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65" w:type="dxa"/>
            <w:tcBorders/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118" w:type="dxa"/>
            <w:tcBorders>
              <w:bottom w:val="single" w:sz="4" w:space="0" w:color="00000A"/>
              <w:insideH w:val="single" w:sz="4" w:space="0" w:color="00000A"/>
            </w:tcBorders>
            <w:shd w:fill="auto" w:val="clear"/>
            <w:vAlign w:val="bottom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32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(наименование должности)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202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(подпись)</w:t>
            </w:r>
          </w:p>
        </w:tc>
        <w:tc>
          <w:tcPr>
            <w:tcW w:w="76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</w:r>
          </w:p>
        </w:tc>
        <w:tc>
          <w:tcPr>
            <w:tcW w:w="311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cs="Times New Roman" w:ascii="Times New Roman" w:hAnsi="Times New Roman"/>
                <w:sz w:val="18"/>
                <w:szCs w:val="18"/>
              </w:rPr>
              <w:t>(инициалы, фамилия)</w:t>
            </w:r>
          </w:p>
        </w:tc>
      </w:tr>
    </w:tbl>
    <w:p>
      <w:pPr>
        <w:pStyle w:val="Normal"/>
        <w:widowControl w:val="false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Normal"/>
        <w:pBdr/>
        <w:spacing w:lineRule="auto" w:line="240" w:before="0" w:after="0"/>
        <w:rPr/>
      </w:pPr>
      <w:r>
        <w:rPr/>
      </w:r>
    </w:p>
    <w:sectPr>
      <w:footerReference w:type="default" r:id="rId2"/>
      <w:footerReference w:type="first" r:id="rId3"/>
      <w:footnotePr>
        <w:numFmt w:val="decimal"/>
      </w:footnotePr>
      <w:type w:val="nextPage"/>
      <w:pgSz w:w="11906" w:h="16838"/>
      <w:pgMar w:left="1134" w:right="567" w:header="0" w:top="851" w:footer="720" w:bottom="79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7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908685" cy="29337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8685" cy="29337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jc w:val="right"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  <w:p>
                          <w:pPr>
                            <w:pStyle w:val="Style25"/>
                            <w:pBdr/>
                            <w:ind w:right="360" w:hanging="0"/>
                            <w:rPr>
                              <w:rStyle w:val="Pagenumber"/>
                            </w:rPr>
                          </w:pPr>
                          <w:r>
                            <w:rPr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71.55pt;height:23.1pt;mso-wrap-distance-left:0pt;mso-wrap-distance-right:0pt;mso-wrap-distance-top:0pt;mso-wrap-distance-bottom:0pt;margin-top:0.05pt;mso-position-vertical-relative:text;margin-left:438.7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jc w:val="right"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  <w:p>
                    <w:pPr>
                      <w:pStyle w:val="Style25"/>
                      <w:pBdr/>
                      <w:ind w:right="360" w:hanging="0"/>
                      <w:rPr>
                        <w:rStyle w:val="Pagenumber"/>
                      </w:rPr>
                    </w:pPr>
                    <w:r>
                      <w:rPr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right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Style26"/>
        <w:ind w:firstLine="567"/>
        <w:jc w:val="both"/>
        <w:rPr/>
      </w:pPr>
      <w:r>
        <w:rPr>
          <w:rStyle w:val="Style17"/>
        </w:rPr>
        <w:footnoteRef/>
      </w:r>
      <w:r>
        <w:rPr>
          <w:rStyle w:val="FootnoteCharacters"/>
          <w:sz w:val="18"/>
          <w:szCs w:val="18"/>
        </w:rPr>
        <w:tab/>
      </w:r>
      <w:r>
        <w:rPr>
          <w:sz w:val="18"/>
          <w:szCs w:val="18"/>
        </w:rPr>
        <w:t> </w:t>
      </w:r>
      <w:r>
        <w:rPr>
          <w:sz w:val="18"/>
          <w:szCs w:val="18"/>
        </w:rPr>
        <w:t>Отражаются все положения нормативного правового акта, его проекта или иного документа, в которых выявлены коррупциогенные факторы, с указанием его структурных единиц (разделов, глав, статей, частей, пунктов, подпунктов, абзацев) и соответствующих коррупциогенных факторов со ссылкой на положения методики, утвержденной постановлением Правительства Российской Федерации от 26 февраля 2010 г. № 96.</w:t>
      </w:r>
    </w:p>
  </w:footnote>
</w:footnotes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HTML Preformatted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6607f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semiHidden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qFormat/>
    <w:rsid w:val="00993575"/>
    <w:rPr/>
  </w:style>
  <w:style w:type="character" w:styleId="HTML" w:customStyle="1">
    <w:name w:val="Стандартный HTML Знак"/>
    <w:basedOn w:val="DefaultParagraphFont"/>
    <w:link w:val="HTML"/>
    <w:semiHidden/>
    <w:qFormat/>
    <w:rsid w:val="00993575"/>
    <w:rPr>
      <w:rFonts w:ascii="Courier New" w:hAnsi="Courier New" w:eastAsia="Times New Roman" w:cs="Courier New"/>
      <w:sz w:val="20"/>
      <w:szCs w:val="20"/>
    </w:rPr>
  </w:style>
  <w:style w:type="character" w:styleId="Style15" w:customStyle="1">
    <w:name w:val="Текст сноски Знак"/>
    <w:basedOn w:val="DefaultParagraphFont"/>
    <w:link w:val="a7"/>
    <w:qFormat/>
    <w:rsid w:val="00993575"/>
    <w:rPr>
      <w:rFonts w:ascii="Times New Roman" w:hAnsi="Times New Roman" w:eastAsia="Times New Roman" w:cs="Times New Roman"/>
      <w:sz w:val="20"/>
      <w:szCs w:val="20"/>
    </w:rPr>
  </w:style>
  <w:style w:type="character" w:styleId="Style16">
    <w:name w:val="Привязка сноски"/>
    <w:rPr>
      <w:vertAlign w:val="superscript"/>
    </w:rPr>
  </w:style>
  <w:style w:type="character" w:styleId="FootnoteCharacters">
    <w:name w:val="Footnote Characters"/>
    <w:qFormat/>
    <w:rsid w:val="00993575"/>
    <w:rPr>
      <w:vertAlign w:val="superscript"/>
    </w:rPr>
  </w:style>
  <w:style w:type="character" w:styleId="2" w:customStyle="1">
    <w:name w:val="Основной текст 2 Знак"/>
    <w:basedOn w:val="DefaultParagraphFont"/>
    <w:link w:val="2"/>
    <w:qFormat/>
    <w:rsid w:val="00993575"/>
    <w:rPr>
      <w:rFonts w:ascii="Times New Roman" w:hAnsi="Times New Roman" w:eastAsia="Times New Roman" w:cs="Times New Roman"/>
      <w:b/>
      <w:sz w:val="28"/>
      <w:szCs w:val="24"/>
    </w:rPr>
  </w:style>
  <w:style w:type="character" w:styleId="Style17">
    <w:name w:val="Символ сноски"/>
    <w:qFormat/>
    <w:rPr/>
  </w:style>
  <w:style w:type="character" w:styleId="Style18">
    <w:name w:val="Привязка концевой сноски"/>
    <w:rPr>
      <w:vertAlign w:val="superscript"/>
    </w:rPr>
  </w:style>
  <w:style w:type="character" w:styleId="Style19">
    <w:name w:val="Символ концевой сноски"/>
    <w:qFormat/>
    <w:rPr/>
  </w:style>
  <w:style w:type="paragraph" w:styleId="Style20">
    <w:name w:val="Заголовок"/>
    <w:basedOn w:val="Normal"/>
    <w:next w:val="Style21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1">
    <w:name w:val="Body Text"/>
    <w:basedOn w:val="Normal"/>
    <w:pPr>
      <w:spacing w:lineRule="auto" w:line="276" w:before="0" w:after="140"/>
    </w:pPr>
    <w:rPr/>
  </w:style>
  <w:style w:type="paragraph" w:styleId="Style22">
    <w:name w:val="List"/>
    <w:basedOn w:val="Style21"/>
    <w:pPr/>
    <w:rPr>
      <w:rFonts w:cs="Arial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Style25">
    <w:name w:val="Footer"/>
    <w:basedOn w:val="Normal"/>
    <w:link w:val="a4"/>
    <w:semiHidden/>
    <w:rsid w:val="00993575"/>
    <w:pPr>
      <w:tabs>
        <w:tab w:val="center" w:pos="4536" w:leader="none"/>
        <w:tab w:val="right" w:pos="9072" w:leader="none"/>
      </w:tabs>
      <w:overflowPunct w:val="true"/>
      <w:spacing w:lineRule="auto" w:line="240" w:before="0" w:after="0"/>
      <w:textAlignment w:val="baseline"/>
    </w:pPr>
    <w:rPr>
      <w:rFonts w:ascii="Times New Roman" w:hAnsi="Times New Roman" w:eastAsia="Times New Roman" w:cs="Times New Roman"/>
      <w:sz w:val="20"/>
      <w:szCs w:val="20"/>
    </w:rPr>
  </w:style>
  <w:style w:type="paragraph" w:styleId="NormalWeb">
    <w:name w:val="Normal (Web)"/>
    <w:basedOn w:val="Normal"/>
    <w:unhideWhenUsed/>
    <w:qFormat/>
    <w:rsid w:val="0099357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HTMLPreformatted">
    <w:name w:val="HTML Preformatted"/>
    <w:basedOn w:val="Normal"/>
    <w:link w:val="HTML0"/>
    <w:semiHidden/>
    <w:unhideWhenUsed/>
    <w:qFormat/>
    <w:rsid w:val="00993575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auto" w:line="240" w:before="0" w:after="0"/>
    </w:pPr>
    <w:rPr>
      <w:rFonts w:ascii="Courier New" w:hAnsi="Courier New" w:eastAsia="Times New Roman" w:cs="Courier New"/>
      <w:sz w:val="20"/>
      <w:szCs w:val="20"/>
    </w:rPr>
  </w:style>
  <w:style w:type="paragraph" w:styleId="Style26">
    <w:name w:val="Footnote Text"/>
    <w:basedOn w:val="Normal"/>
    <w:link w:val="a8"/>
    <w:rsid w:val="00993575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BodyText2">
    <w:name w:val="Body Text 2"/>
    <w:basedOn w:val="Normal"/>
    <w:link w:val="20"/>
    <w:qFormat/>
    <w:rsid w:val="00993575"/>
    <w:pPr>
      <w:spacing w:lineRule="auto" w:line="240" w:before="0" w:after="0"/>
    </w:pPr>
    <w:rPr>
      <w:rFonts w:ascii="Times New Roman" w:hAnsi="Times New Roman" w:eastAsia="Times New Roman" w:cs="Times New Roman"/>
      <w:b/>
      <w:sz w:val="28"/>
      <w:szCs w:val="24"/>
    </w:rPr>
  </w:style>
  <w:style w:type="paragraph" w:styleId="Style27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notes" Target="footnot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LibreOffice/6.0.2.1$Windows_X86_64 LibreOffice_project/f7f06a8f319e4b62f9bc5095aa112a65d2f3ac89</Application>
  <Pages>7</Pages>
  <Words>1742</Words>
  <Characters>13835</Characters>
  <CharactersWithSpaces>15617</CharactersWithSpaces>
  <Paragraphs>111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2019-06-04T05:23:00Z</dcterms:created>
  <dc:creator>Admin</dc:creator>
  <dc:description/>
  <dc:language>ru-RU</dc:language>
  <cp:lastModifiedBy/>
  <dcterms:modified xsi:type="dcterms:W3CDTF">2021-02-08T15:21:34Z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