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W w:type="auto" w:w="0"/>
        <w:tblInd w:type="dxa" w:w="-743"/>
        <w:tblLayout w:type="fixed"/>
      </w:tblPr>
      <w:tblGrid>
        <w:gridCol w:w="778"/>
        <w:gridCol w:w="1207"/>
        <w:gridCol w:w="2130"/>
        <w:gridCol w:w="2076"/>
        <w:gridCol w:w="1180"/>
        <w:gridCol w:w="1135"/>
        <w:gridCol w:w="1276"/>
        <w:gridCol w:w="1417"/>
        <w:gridCol w:w="1701"/>
        <w:gridCol w:w="1606"/>
        <w:gridCol w:w="1938"/>
      </w:tblGrid>
      <w:tr>
        <w:trPr>
          <w:trHeight w:hRule="atLeast" w:val="1269"/>
        </w:trPr>
        <w:tc>
          <w:tcPr>
            <w:tcW w:type="dxa" w:w="77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5666"/>
            <w:gridSpan w:val="1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РАЗДЕЛ 1. </w:t>
            </w:r>
            <w:r>
              <w:rPr>
                <w:rFonts w:ascii="Times New Roman" w:hAnsi="Times New Roman"/>
                <w:color w:val="000000"/>
              </w:rPr>
              <w:t>Муниципальное недвижимое имущество  (здание, строение, сооружение или объект незавершенного строительства, земельный участок ,жилое, нежилое помещение или иной прочно связанный с землей объект, перемещение которого без соразмерного ущерба его назначению невозможно ,либо иное имущество, отнесенное законом  к недвижимости)по состоянию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на 01.01.202</w:t>
            </w:r>
            <w:r>
              <w:rPr>
                <w:rFonts w:ascii="Times New Roman" w:hAnsi="Times New Roman"/>
                <w:b w:val="1"/>
                <w:color w:val="00000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г.</w:t>
            </w:r>
          </w:p>
        </w:tc>
      </w:tr>
      <w:tr>
        <w:trPr>
          <w:trHeight w:hRule="atLeast" w:val="4524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№№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Площадь,протяженность и (или) иные параметры,характеризующие физические свойства недвижимого имущества</w:t>
            </w:r>
          </w:p>
        </w:tc>
        <w:tc>
          <w:tcPr>
            <w:tcW w:type="dxa" w:w="11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кадастровой стоимости недвижимого имущества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документов 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об установленных в отношении муницпального недвижимого имущества ограничениях (обременениях), с указанием основания и даты их возникновения и прекращения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дому культуры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Ростовская область, р-н Неклиновский, с Вареновка, ул. Советская, 124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61:26:0040101:2430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1514,2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10.01.2022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Вареновского сельского поселения №223 от 20.11.2021г. (оперативное управление).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r>
              <w:t>МБУК «Вареновский ДК»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r>
              <w:t>Земельный участок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r>
              <w:rPr>
                <w:rFonts w:ascii="Times New Roman" w:hAnsi="Times New Roman"/>
              </w:rPr>
              <w:t>Российская Федерация, Ростовская область, р-н Неклиновский, с Вареновка, ул. Советская, 124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61:26:0040101:4167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3247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10.01.2022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Вареновского сельского поселения №223 от 20.11.2021г. (оперативное управление).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r>
              <w:t>МБУК «Вареновский ДК»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r>
              <w:rPr>
                <w:rFonts w:ascii="Times New Roman" w:hAnsi="Times New Roman"/>
              </w:rPr>
              <w:t>Здание дому культуры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Ростовская область, р-н Неклиновский, с. Бессергеновка, ул. Школьная, 2А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61:26:0040201:3327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17.03.2022г.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Вареновского сельского поселения №25 от 17.02.2022г. (оперативное управление)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r>
              <w:t>МБУК «Вареновский ДК»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rPr>
                <w:rFonts w:ascii="Times New Roman" w:hAnsi="Times New Roman"/>
              </w:rPr>
            </w:pPr>
            <w:r>
              <w:t>Земельный уча</w:t>
            </w:r>
            <w:r>
              <w:rPr>
                <w:rFonts w:ascii="Times New Roman" w:hAnsi="Times New Roman"/>
              </w:rPr>
              <w:t>сток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Ростовская область, р-н Неклиновский, с. Бессергеновка, ул. Школьная, 2А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61:26:0040201:3034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17.03.2002г.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Вареновского сельского поселения №25 от 17.02.2022г. (оперативное управление)</w:t>
            </w: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r>
              <w:t>МБУК «Вареновский ДК»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</w:tbl>
    <w:p w14:paraId="3A000000"/>
    <w:sectPr>
      <w:pgSz w:h="11906" w:orient="landscape" w:w="16838"/>
      <w:pgMar w:bottom="851" w:footer="709" w:gutter="0" w:header="709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2024-11-08T10:48:41Z</dcterms:modified>
</cp:coreProperties>
</file>